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4306" w14:textId="77777777" w:rsidR="001A372A" w:rsidRPr="007940F9" w:rsidRDefault="00F00114" w:rsidP="0053305E">
      <w:pPr>
        <w:pStyle w:val="Ttulo2"/>
        <w:jc w:val="center"/>
        <w:rPr>
          <w:rFonts w:ascii="Poppins" w:hAnsi="Poppins" w:cs="Poppins"/>
          <w:b/>
          <w:bCs/>
          <w:color w:val="auto"/>
          <w:sz w:val="40"/>
          <w:szCs w:val="40"/>
        </w:rPr>
      </w:pPr>
      <w:bookmarkStart w:id="0" w:name="X02584b23bb63a42ecc8f17c431782011c907691"/>
      <w:bookmarkStart w:id="1" w:name="minuta-de-conteúdo-programático"/>
      <w:r w:rsidRPr="007940F9">
        <w:rPr>
          <w:rFonts w:ascii="Poppins" w:hAnsi="Poppins" w:cs="Poppins"/>
          <w:b/>
          <w:bCs/>
          <w:color w:val="auto"/>
          <w:sz w:val="40"/>
          <w:szCs w:val="40"/>
        </w:rPr>
        <w:t>Curso: Reforma Tributária e os Contratos Administrativos</w:t>
      </w:r>
    </w:p>
    <w:p w14:paraId="667293AF" w14:textId="77777777" w:rsidR="0053305E" w:rsidRPr="007940F9" w:rsidRDefault="0053305E" w:rsidP="0053305E">
      <w:pPr>
        <w:pStyle w:val="Corpodetexto"/>
      </w:pPr>
    </w:p>
    <w:p w14:paraId="35D68AF0" w14:textId="77777777" w:rsidR="0053305E" w:rsidRPr="007940F9" w:rsidRDefault="00F00114" w:rsidP="0053305E">
      <w:pPr>
        <w:pStyle w:val="FirstParagraph"/>
        <w:rPr>
          <w:rFonts w:ascii="Poppins" w:hAnsi="Poppins" w:cs="Poppins"/>
        </w:rPr>
      </w:pPr>
      <w:r w:rsidRPr="007940F9">
        <w:rPr>
          <w:rFonts w:ascii="Poppins" w:hAnsi="Poppins" w:cs="Poppins"/>
          <w:b/>
          <w:bCs/>
        </w:rPr>
        <w:t>Carga horária:</w:t>
      </w:r>
      <w:r w:rsidRPr="007940F9">
        <w:rPr>
          <w:rFonts w:ascii="Poppins" w:hAnsi="Poppins" w:cs="Poppins"/>
        </w:rPr>
        <w:t xml:space="preserve"> 16 horas</w:t>
      </w:r>
      <w:r w:rsidRPr="007940F9">
        <w:rPr>
          <w:rFonts w:ascii="Poppins" w:hAnsi="Poppins" w:cs="Poppins"/>
        </w:rPr>
        <w:br/>
      </w:r>
      <w:r w:rsidRPr="007940F9">
        <w:rPr>
          <w:rFonts w:ascii="Poppins" w:hAnsi="Poppins" w:cs="Poppins"/>
          <w:b/>
          <w:bCs/>
        </w:rPr>
        <w:t>Formato sugerido:</w:t>
      </w:r>
      <w:r w:rsidRPr="007940F9">
        <w:rPr>
          <w:rFonts w:ascii="Poppins" w:hAnsi="Poppins" w:cs="Poppins"/>
        </w:rPr>
        <w:t xml:space="preserve"> presencial, remoto síncrono ou híbrido</w:t>
      </w:r>
    </w:p>
    <w:p w14:paraId="081CE977" w14:textId="029CD8A8" w:rsidR="001A372A" w:rsidRPr="007940F9" w:rsidRDefault="00F00114" w:rsidP="0053305E">
      <w:pPr>
        <w:pStyle w:val="FirstParagraph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  <w:b/>
          <w:bCs/>
        </w:rPr>
        <w:t>Público-alvo:</w:t>
      </w:r>
      <w:r w:rsidRPr="007940F9">
        <w:rPr>
          <w:rFonts w:ascii="Poppins" w:hAnsi="Poppins" w:cs="Poppins"/>
        </w:rPr>
        <w:t xml:space="preserve"> gestores e fiscais de contratos, agentes de contratação, procuradores, assessores jurídicos, contadores, auditores, servidores das áreas de orçamento, compras, contratos, controle interno e fornecedores da Administração Pública.</w:t>
      </w:r>
    </w:p>
    <w:p w14:paraId="58353B1E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b/>
          <w:bCs/>
          <w:color w:val="auto"/>
        </w:rPr>
      </w:pPr>
      <w:bookmarkStart w:id="2" w:name="ementa"/>
      <w:bookmarkEnd w:id="0"/>
      <w:r w:rsidRPr="007940F9">
        <w:rPr>
          <w:rFonts w:ascii="Poppins" w:hAnsi="Poppins" w:cs="Poppins"/>
          <w:b/>
          <w:bCs/>
          <w:color w:val="auto"/>
        </w:rPr>
        <w:t>1. Ementa</w:t>
      </w:r>
    </w:p>
    <w:p w14:paraId="0D29D348" w14:textId="77777777" w:rsidR="001A372A" w:rsidRPr="007940F9" w:rsidRDefault="00F00114" w:rsidP="0053305E">
      <w:pPr>
        <w:pStyle w:val="FirstParagraph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Estudo dos impactos da Reforma Tributária do Consumo sobre os contratos administrativos, com ênfase na substituição gradual de PIS/</w:t>
      </w:r>
      <w:proofErr w:type="spellStart"/>
      <w:r w:rsidRPr="007940F9">
        <w:rPr>
          <w:rFonts w:ascii="Poppins" w:hAnsi="Poppins" w:cs="Poppins"/>
        </w:rPr>
        <w:t>Cofins</w:t>
      </w:r>
      <w:proofErr w:type="spellEnd"/>
      <w:r w:rsidRPr="007940F9">
        <w:rPr>
          <w:rFonts w:ascii="Poppins" w:hAnsi="Poppins" w:cs="Poppins"/>
        </w:rPr>
        <w:t xml:space="preserve">, ICMS, ISS e IPI pelo modelo de IVA dual composto por CBS e IBS, além do Imposto Seletivo. Análise das hipóteses de incidência, regimes específicos, creditamento, split </w:t>
      </w:r>
      <w:proofErr w:type="spellStart"/>
      <w:r w:rsidRPr="007940F9">
        <w:rPr>
          <w:rFonts w:ascii="Poppins" w:hAnsi="Poppins" w:cs="Poppins"/>
        </w:rPr>
        <w:t>payment</w:t>
      </w:r>
      <w:proofErr w:type="spellEnd"/>
      <w:r w:rsidRPr="007940F9">
        <w:rPr>
          <w:rFonts w:ascii="Poppins" w:hAnsi="Poppins" w:cs="Poppins"/>
        </w:rPr>
        <w:t>, alíquotas aplicáveis às aquisições pela Administração Pública e efeitos na formação de preços, orçamento estimado, planilhas de custos, BDI e equilíbrio econômico-financeiro dos contratos administrativos.</w:t>
      </w:r>
    </w:p>
    <w:p w14:paraId="189B1B6B" w14:textId="77777777" w:rsidR="001A372A" w:rsidRPr="007940F9" w:rsidRDefault="00F00114" w:rsidP="0053305E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 base normativa central compreende a EC nº 132/2023, a LC nº 214/2025, a LC nº 227/2026, a Lei nº 14.133/2021 e a regulamentação infralegal aplicável à CBS e aos sistemas de apuração, arrecadação e fiscalização. A Receita Federal indica que a reforma cria CBS, IBS e Imposto Seletivo, extingue PIS/</w:t>
      </w:r>
      <w:proofErr w:type="spellStart"/>
      <w:r w:rsidRPr="007940F9">
        <w:rPr>
          <w:rFonts w:ascii="Poppins" w:hAnsi="Poppins" w:cs="Poppins"/>
        </w:rPr>
        <w:t>Cofins</w:t>
      </w:r>
      <w:proofErr w:type="spellEnd"/>
      <w:r w:rsidRPr="007940F9">
        <w:rPr>
          <w:rFonts w:ascii="Poppins" w:hAnsi="Poppins" w:cs="Poppins"/>
        </w:rPr>
        <w:t>, ICMS e ISS, reduz o IPI a zero para quase todos os produtos a partir de 2027 e prevê transição entre 2026 e 2033.</w:t>
      </w:r>
    </w:p>
    <w:p w14:paraId="11779C6F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b/>
          <w:bCs/>
          <w:color w:val="auto"/>
        </w:rPr>
      </w:pPr>
      <w:bookmarkStart w:id="3" w:name="objetivo-geral"/>
      <w:bookmarkEnd w:id="2"/>
      <w:r w:rsidRPr="007940F9">
        <w:rPr>
          <w:rFonts w:ascii="Poppins" w:hAnsi="Poppins" w:cs="Poppins"/>
          <w:b/>
          <w:bCs/>
          <w:color w:val="auto"/>
        </w:rPr>
        <w:t>2. Objetivo geral</w:t>
      </w:r>
    </w:p>
    <w:p w14:paraId="34B90985" w14:textId="77777777" w:rsidR="001A372A" w:rsidRPr="007940F9" w:rsidRDefault="00F00114" w:rsidP="0053305E">
      <w:pPr>
        <w:pStyle w:val="FirstParagraph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Capacitar os participantes a compreenderem os efeitos jurídicos, tributários, orçamentários e econômico-financeiros da Reforma Tributária do Consumo sobre licitações e contratos administrativos, com foco na formação de preços, fiscalização contratual, reequilíbrio econômico-financeiro e revisão dos contratos durante o período de transição.</w:t>
      </w:r>
    </w:p>
    <w:p w14:paraId="39AEF9D3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b/>
          <w:bCs/>
          <w:color w:val="auto"/>
        </w:rPr>
      </w:pPr>
      <w:bookmarkStart w:id="4" w:name="objetivos-específicos"/>
      <w:bookmarkEnd w:id="3"/>
      <w:r w:rsidRPr="007940F9">
        <w:rPr>
          <w:rFonts w:ascii="Poppins" w:hAnsi="Poppins" w:cs="Poppins"/>
          <w:b/>
          <w:bCs/>
          <w:color w:val="auto"/>
        </w:rPr>
        <w:lastRenderedPageBreak/>
        <w:t>3. Objetivos específicos</w:t>
      </w:r>
    </w:p>
    <w:p w14:paraId="08B2EA93" w14:textId="77777777" w:rsidR="001A372A" w:rsidRPr="007940F9" w:rsidRDefault="00F00114" w:rsidP="0053305E">
      <w:pPr>
        <w:pStyle w:val="FirstParagraph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Ao final do curso, espera-se que o participante seja capaz de:</w:t>
      </w:r>
    </w:p>
    <w:p w14:paraId="52DDB17D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Compreender a estrutura constitucional da tributação sobre o consumo antes e depois da Reforma Tributária.</w:t>
      </w:r>
    </w:p>
    <w:p w14:paraId="1DEEE912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Identificar as bases de incidência da CBS, do IBS e do Imposto Seletivo.</w:t>
      </w:r>
    </w:p>
    <w:p w14:paraId="71701727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Diferenciar alíquota nominal, carga tributária efetiva, tributo recuperável e tributo não recuperável.</w:t>
      </w:r>
    </w:p>
    <w:p w14:paraId="7435152C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Avaliar efeitos da reforma na formação de preços de licitações e contratos.</w:t>
      </w:r>
    </w:p>
    <w:p w14:paraId="337A294E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Analisar planilhas de custos e formação de preços em contratos com dedicação exclusiva de mão de obra.</w:t>
      </w:r>
    </w:p>
    <w:p w14:paraId="708F5399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Identificar impactos nos regimes de lucro real, lucro presumido e Simples Nacional.</w:t>
      </w:r>
    </w:p>
    <w:p w14:paraId="4587129D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 xml:space="preserve">Compreender o papel do split </w:t>
      </w:r>
      <w:proofErr w:type="spellStart"/>
      <w:r w:rsidRPr="007940F9">
        <w:rPr>
          <w:rFonts w:ascii="Poppins" w:hAnsi="Poppins" w:cs="Poppins"/>
        </w:rPr>
        <w:t>payment</w:t>
      </w:r>
      <w:proofErr w:type="spellEnd"/>
      <w:r w:rsidRPr="007940F9">
        <w:rPr>
          <w:rFonts w:ascii="Poppins" w:hAnsi="Poppins" w:cs="Poppins"/>
        </w:rPr>
        <w:t>, do creditamento amplo e dos regimes específicos.</w:t>
      </w:r>
    </w:p>
    <w:p w14:paraId="69E1D897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Aplicar os instrumentos de manutenção e recomposição do equilíbrio econômico-financeiro: reajuste, repactuação e revisão.</w:t>
      </w:r>
    </w:p>
    <w:p w14:paraId="183F049B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Avaliar, caso a caso, a existência de desequilíbrio econômico-financeiro decorrente da alteração da carga tributária efetiva.</w:t>
      </w:r>
    </w:p>
    <w:p w14:paraId="44A0696D" w14:textId="77777777" w:rsidR="001A372A" w:rsidRPr="007940F9" w:rsidRDefault="00F00114" w:rsidP="0053305E">
      <w:pPr>
        <w:pStyle w:val="Compact"/>
        <w:numPr>
          <w:ilvl w:val="0"/>
          <w:numId w:val="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Simular impactos da reforma em contratos administrativos de serviços, locação, tecnologia da informação, serviços profissionais e obras de engenharia.</w:t>
      </w:r>
    </w:p>
    <w:p w14:paraId="58F96080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b/>
          <w:bCs/>
          <w:color w:val="auto"/>
        </w:rPr>
      </w:pPr>
      <w:bookmarkStart w:id="5" w:name="metodologia"/>
      <w:bookmarkEnd w:id="4"/>
      <w:r w:rsidRPr="007940F9">
        <w:rPr>
          <w:rFonts w:ascii="Poppins" w:hAnsi="Poppins" w:cs="Poppins"/>
          <w:b/>
          <w:bCs/>
          <w:color w:val="auto"/>
        </w:rPr>
        <w:t>4. Metodologia</w:t>
      </w:r>
    </w:p>
    <w:p w14:paraId="71F7E989" w14:textId="77777777" w:rsidR="001A372A" w:rsidRPr="007940F9" w:rsidRDefault="00F00114" w:rsidP="0053305E">
      <w:pPr>
        <w:pStyle w:val="FirstParagraph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Aulas expositivas dialogadas, análise normativa, estudo de casos, leitura dirigida de dispositivos legais, resolução de situações-problema, simulações de planilhas e exercícios práticos de reequilíbrio econômico-financeiro.</w:t>
      </w:r>
    </w:p>
    <w:p w14:paraId="4EC72135" w14:textId="77777777" w:rsidR="001A372A" w:rsidRPr="007940F9" w:rsidRDefault="00F00114" w:rsidP="0053305E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Recomenda-se que o curso combine exposição teórica com exercícios progressivos: primeiro, identificação da incidência tributária; depois, cálculo do impacto; por fim, análise da repercussão contratual.</w:t>
      </w:r>
    </w:p>
    <w:p w14:paraId="00BCB11A" w14:textId="08F39417" w:rsidR="00582171" w:rsidRPr="007940F9" w:rsidRDefault="00ED662D" w:rsidP="00ED662D">
      <w:pPr>
        <w:pStyle w:val="Ttulo2"/>
        <w:jc w:val="both"/>
        <w:rPr>
          <w:rFonts w:ascii="Poppins" w:hAnsi="Poppins" w:cs="Poppins"/>
          <w:b/>
          <w:bCs/>
          <w:color w:val="auto"/>
        </w:rPr>
      </w:pPr>
      <w:r w:rsidRPr="007940F9">
        <w:rPr>
          <w:rFonts w:ascii="Poppins" w:hAnsi="Poppins" w:cs="Poppins"/>
          <w:b/>
          <w:bCs/>
          <w:color w:val="auto"/>
        </w:rPr>
        <w:t>5. Instrutor</w:t>
      </w:r>
    </w:p>
    <w:p w14:paraId="6CBCCB7C" w14:textId="77777777" w:rsidR="00ED662D" w:rsidRPr="007940F9" w:rsidRDefault="00ED662D" w:rsidP="00ED662D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  <w:b/>
          <w:bCs/>
        </w:rPr>
        <w:t>Prof. Evaldo Araújo Ramos</w:t>
      </w:r>
    </w:p>
    <w:p w14:paraId="21D7384E" w14:textId="77777777" w:rsidR="00ED662D" w:rsidRPr="007940F9" w:rsidRDefault="00ED662D" w:rsidP="00ED662D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Auditor Federal de Controle Externo do Tribunal de Contas da União (TCU) desde 2006, com atuação na análise de procedimentos licitatórios e contratações públicas. Exerceu as funções de pregoeiro, leiloeiro, membro e presidente de comissões de licitação, além de ter ocupado, por quatro anos, o cargo de diretor de licitações.</w:t>
      </w:r>
    </w:p>
    <w:p w14:paraId="5897D43D" w14:textId="77777777" w:rsidR="00ED662D" w:rsidRPr="007940F9" w:rsidRDefault="00ED662D" w:rsidP="00ED662D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É graduado em Administração pela Universidade de Brasília (UnB) e em Direito pela Universidade Católica de Brasília (UCB). Possui MBA em Licitações e Contratos Administrativos e duas especializações lato sensu em Direito Administrativo, com ênfase na Nova Lei de Licitações e em Contratos Administrativos.</w:t>
      </w:r>
    </w:p>
    <w:p w14:paraId="53B60213" w14:textId="77777777" w:rsidR="00ED662D" w:rsidRPr="007940F9" w:rsidRDefault="00ED662D" w:rsidP="00ED662D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 xml:space="preserve">É professor em cursos de pós-graduação na área de Licitações e Contratos, atuando no Instituto Goiano de Direito e no Centro de Estudos Renato Saraiva (CERS). É coautor do livro </w:t>
      </w:r>
      <w:r w:rsidRPr="007940F9">
        <w:rPr>
          <w:rFonts w:ascii="Poppins" w:hAnsi="Poppins" w:cs="Poppins"/>
          <w:i/>
          <w:iCs/>
        </w:rPr>
        <w:t>A Lei nº 14.133/2021 na Prática: 100 Perguntas e Respostas</w:t>
      </w:r>
      <w:r w:rsidRPr="007940F9">
        <w:rPr>
          <w:rFonts w:ascii="Poppins" w:hAnsi="Poppins" w:cs="Poppins"/>
        </w:rPr>
        <w:t>, publicado pela Editora Negócios Públicos em 2025.</w:t>
      </w:r>
    </w:p>
    <w:p w14:paraId="5B7C88C3" w14:textId="77777777" w:rsidR="00ED662D" w:rsidRPr="007940F9" w:rsidRDefault="00ED662D" w:rsidP="00ED662D">
      <w:pPr>
        <w:pStyle w:val="Corpodetexto"/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Iniciou sua carreira pública no Tribunal de Justiça do Distrito Federal e Territórios (TJDFT) e posteriormente integrou a Controladoria-Geral da União (CGU), como Analista de Finanças e Controle. Atua também como advogado nas áreas Cível, Tributária e Administrativa, consultor de órgãos públicos na implementação da Lei nº 14.133/2021 e integrante do Instituto Nacional da Contratação Pública (INCP).</w:t>
      </w:r>
    </w:p>
    <w:p w14:paraId="0608804A" w14:textId="333F6BCF" w:rsidR="001A372A" w:rsidRPr="007940F9" w:rsidRDefault="00ED662D" w:rsidP="0053305E">
      <w:pPr>
        <w:pStyle w:val="Ttulo1"/>
        <w:jc w:val="both"/>
        <w:rPr>
          <w:rFonts w:ascii="Poppins" w:hAnsi="Poppins" w:cs="Poppins"/>
          <w:b/>
          <w:bCs/>
          <w:color w:val="auto"/>
        </w:rPr>
      </w:pPr>
      <w:bookmarkStart w:id="6" w:name="conteúdo-programático"/>
      <w:bookmarkEnd w:id="1"/>
      <w:bookmarkEnd w:id="5"/>
      <w:r w:rsidRPr="007940F9">
        <w:rPr>
          <w:rFonts w:ascii="Poppins" w:hAnsi="Poppins" w:cs="Poppins"/>
          <w:b/>
          <w:bCs/>
          <w:color w:val="auto"/>
        </w:rPr>
        <w:t>6. Conteúdo programático</w:t>
      </w:r>
    </w:p>
    <w:p w14:paraId="0F2E486A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color w:val="auto"/>
        </w:rPr>
      </w:pPr>
      <w:bookmarkStart w:id="7" w:name="X064b957bb1a8e9ddd564eda63b677f4bec7f15d"/>
      <w:r w:rsidRPr="007940F9">
        <w:rPr>
          <w:rFonts w:ascii="Poppins" w:hAnsi="Poppins" w:cs="Poppins"/>
          <w:color w:val="auto"/>
        </w:rPr>
        <w:t>Módulo 1 — Fundamentos constitucionais da Reforma Tributária do Consumo</w:t>
      </w:r>
    </w:p>
    <w:p w14:paraId="019019F5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8" w:name="tratamento-constitucional-da-tributação"/>
      <w:r w:rsidRPr="007940F9">
        <w:rPr>
          <w:rFonts w:ascii="Poppins" w:hAnsi="Poppins" w:cs="Poppins"/>
          <w:color w:val="auto"/>
        </w:rPr>
        <w:t>1.1. Tratamento constitucional da tributação</w:t>
      </w:r>
    </w:p>
    <w:p w14:paraId="10406A34" w14:textId="77777777" w:rsidR="001A372A" w:rsidRPr="007940F9" w:rsidRDefault="00F00114" w:rsidP="0053305E">
      <w:pPr>
        <w:pStyle w:val="Compact"/>
        <w:numPr>
          <w:ilvl w:val="0"/>
          <w:numId w:val="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Competências tributárias da União, Estados, Distrito Federal e Municípios.</w:t>
      </w:r>
    </w:p>
    <w:p w14:paraId="12370817" w14:textId="77777777" w:rsidR="001A372A" w:rsidRPr="007940F9" w:rsidRDefault="00F00114" w:rsidP="0053305E">
      <w:pPr>
        <w:pStyle w:val="Compact"/>
        <w:numPr>
          <w:ilvl w:val="0"/>
          <w:numId w:val="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Tributação sobre renda, patrimônio, folha, comércio exterior e consumo.</w:t>
      </w:r>
    </w:p>
    <w:p w14:paraId="643E0600" w14:textId="77777777" w:rsidR="001A372A" w:rsidRPr="007940F9" w:rsidRDefault="00F00114" w:rsidP="0053305E">
      <w:pPr>
        <w:pStyle w:val="Compact"/>
        <w:numPr>
          <w:ilvl w:val="0"/>
          <w:numId w:val="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Princípios constitucionais tributários relevantes: legalidade, anterioridade, não cumulatividade, seletividade, transparência, neutralidade e capacidade contributiva.</w:t>
      </w:r>
    </w:p>
    <w:p w14:paraId="3A791391" w14:textId="77777777" w:rsidR="001A372A" w:rsidRPr="007940F9" w:rsidRDefault="00F00114" w:rsidP="0053305E">
      <w:pPr>
        <w:pStyle w:val="Compact"/>
        <w:numPr>
          <w:ilvl w:val="0"/>
          <w:numId w:val="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Reforma Tributária do Consumo e alteração do modelo federativo de tributação indireta.</w:t>
      </w:r>
    </w:p>
    <w:p w14:paraId="51F07080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9" w:name="X72447121793c92e3fb7eed1c31b4d1c8cc6baa3"/>
      <w:bookmarkEnd w:id="8"/>
      <w:r w:rsidRPr="007940F9">
        <w:rPr>
          <w:rFonts w:ascii="Poppins" w:hAnsi="Poppins" w:cs="Poppins"/>
          <w:color w:val="auto"/>
        </w:rPr>
        <w:lastRenderedPageBreak/>
        <w:t>1.2. Bases tributárias e tributos sobre o consumo no modelo anterior</w:t>
      </w:r>
    </w:p>
    <w:p w14:paraId="1018BBA4" w14:textId="77777777" w:rsidR="001A372A" w:rsidRPr="007940F9" w:rsidRDefault="00F00114" w:rsidP="0053305E">
      <w:pPr>
        <w:pStyle w:val="Compact"/>
        <w:numPr>
          <w:ilvl w:val="0"/>
          <w:numId w:val="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Base econômica da circulação de mercadorias.</w:t>
      </w:r>
    </w:p>
    <w:p w14:paraId="1FE32D97" w14:textId="77777777" w:rsidR="001A372A" w:rsidRPr="007940F9" w:rsidRDefault="00F00114" w:rsidP="0053305E">
      <w:pPr>
        <w:pStyle w:val="Compact"/>
        <w:numPr>
          <w:ilvl w:val="0"/>
          <w:numId w:val="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Base econômica da prestação de serviços.</w:t>
      </w:r>
    </w:p>
    <w:p w14:paraId="6958B75F" w14:textId="77777777" w:rsidR="001A372A" w:rsidRPr="007940F9" w:rsidRDefault="00F00114" w:rsidP="0053305E">
      <w:pPr>
        <w:pStyle w:val="Compact"/>
        <w:numPr>
          <w:ilvl w:val="0"/>
          <w:numId w:val="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Base econômica da industrialização.</w:t>
      </w:r>
    </w:p>
    <w:p w14:paraId="0B7F963A" w14:textId="77777777" w:rsidR="001A372A" w:rsidRPr="007940F9" w:rsidRDefault="00F00114" w:rsidP="0053305E">
      <w:pPr>
        <w:pStyle w:val="Compact"/>
        <w:numPr>
          <w:ilvl w:val="0"/>
          <w:numId w:val="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Base econômica da receita/faturamento.</w:t>
      </w:r>
    </w:p>
    <w:p w14:paraId="38B2D2F6" w14:textId="77777777" w:rsidR="001A372A" w:rsidRPr="007940F9" w:rsidRDefault="00F00114" w:rsidP="0053305E">
      <w:pPr>
        <w:pStyle w:val="Compact"/>
        <w:numPr>
          <w:ilvl w:val="0"/>
          <w:numId w:val="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Espécies de tributos sobre o consumo antes da reforma:</w:t>
      </w:r>
    </w:p>
    <w:p w14:paraId="3F54016E" w14:textId="77777777" w:rsidR="001A372A" w:rsidRPr="007940F9" w:rsidRDefault="00F00114" w:rsidP="0053305E">
      <w:pPr>
        <w:pStyle w:val="Compact"/>
        <w:numPr>
          <w:ilvl w:val="1"/>
          <w:numId w:val="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ISS;</w:t>
      </w:r>
    </w:p>
    <w:p w14:paraId="14C7BF8A" w14:textId="77777777" w:rsidR="001A372A" w:rsidRPr="007940F9" w:rsidRDefault="00F00114" w:rsidP="0053305E">
      <w:pPr>
        <w:pStyle w:val="Compact"/>
        <w:numPr>
          <w:ilvl w:val="1"/>
          <w:numId w:val="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ICMS;</w:t>
      </w:r>
    </w:p>
    <w:p w14:paraId="4E0BDE29" w14:textId="77777777" w:rsidR="001A372A" w:rsidRPr="007940F9" w:rsidRDefault="00F00114" w:rsidP="0053305E">
      <w:pPr>
        <w:pStyle w:val="Compact"/>
        <w:numPr>
          <w:ilvl w:val="1"/>
          <w:numId w:val="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IPI;</w:t>
      </w:r>
    </w:p>
    <w:p w14:paraId="38569A3F" w14:textId="77777777" w:rsidR="001A372A" w:rsidRPr="007940F9" w:rsidRDefault="00F00114" w:rsidP="0053305E">
      <w:pPr>
        <w:pStyle w:val="Compact"/>
        <w:numPr>
          <w:ilvl w:val="1"/>
          <w:numId w:val="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PIS;</w:t>
      </w:r>
    </w:p>
    <w:p w14:paraId="6D682412" w14:textId="77777777" w:rsidR="001A372A" w:rsidRPr="007940F9" w:rsidRDefault="00F00114" w:rsidP="0053305E">
      <w:pPr>
        <w:pStyle w:val="Compact"/>
        <w:numPr>
          <w:ilvl w:val="1"/>
          <w:numId w:val="5"/>
        </w:numPr>
        <w:jc w:val="both"/>
        <w:rPr>
          <w:rFonts w:ascii="Poppins" w:hAnsi="Poppins" w:cs="Poppins"/>
        </w:rPr>
      </w:pPr>
      <w:proofErr w:type="spellStart"/>
      <w:r w:rsidRPr="007940F9">
        <w:rPr>
          <w:rFonts w:ascii="Poppins" w:hAnsi="Poppins" w:cs="Poppins"/>
        </w:rPr>
        <w:t>Cofins</w:t>
      </w:r>
      <w:proofErr w:type="spellEnd"/>
      <w:r w:rsidRPr="007940F9">
        <w:rPr>
          <w:rFonts w:ascii="Poppins" w:hAnsi="Poppins" w:cs="Poppins"/>
        </w:rPr>
        <w:t>.</w:t>
      </w:r>
    </w:p>
    <w:p w14:paraId="4F3CC7CA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0" w:name="o-novo-modelo-de-iva-dual"/>
      <w:bookmarkEnd w:id="9"/>
      <w:r w:rsidRPr="007940F9">
        <w:rPr>
          <w:rFonts w:ascii="Poppins" w:hAnsi="Poppins" w:cs="Poppins"/>
          <w:color w:val="auto"/>
        </w:rPr>
        <w:t>1.3. O novo modelo de IVA dual</w:t>
      </w:r>
    </w:p>
    <w:p w14:paraId="69C976F5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Conceito de IVA: tributação sobre valor agregado.</w:t>
      </w:r>
    </w:p>
    <w:p w14:paraId="70E58864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Não cumulatividade e crédito financeiro.</w:t>
      </w:r>
    </w:p>
    <w:p w14:paraId="30AE5A0B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Princípio do destino.</w:t>
      </w:r>
    </w:p>
    <w:p w14:paraId="2BC11943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Base ampla de incidência.</w:t>
      </w:r>
    </w:p>
    <w:p w14:paraId="29F2DAD6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Separação entre IVA federal e IVA subnacional.</w:t>
      </w:r>
    </w:p>
    <w:p w14:paraId="64C1FFC2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CBS: Contribuição sobre Bens e Serviços, de competência federal.</w:t>
      </w:r>
    </w:p>
    <w:p w14:paraId="017DA247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IBS: Imposto sobre Bens e Serviços, de competência compartilhada entre Estados, Distrito Federal e Municípios.</w:t>
      </w:r>
    </w:p>
    <w:p w14:paraId="4BC72761" w14:textId="77777777" w:rsidR="001A372A" w:rsidRPr="007940F9" w:rsidRDefault="00F00114" w:rsidP="0053305E">
      <w:pPr>
        <w:pStyle w:val="Compact"/>
        <w:numPr>
          <w:ilvl w:val="0"/>
          <w:numId w:val="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Imposto Seletivo: finalidade extrafiscal e incidência sobre bens e serviços prejudiciais à saúde ou ao meio ambiente, conforme disciplina legal.</w:t>
      </w:r>
    </w:p>
    <w:p w14:paraId="323E86D0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1" w:name="cronograma-de-implementação-da-reforma"/>
      <w:bookmarkEnd w:id="10"/>
      <w:r w:rsidRPr="007940F9">
        <w:rPr>
          <w:rFonts w:ascii="Poppins" w:hAnsi="Poppins" w:cs="Poppins"/>
          <w:color w:val="auto"/>
        </w:rPr>
        <w:t>1.4. Cronograma de implementação da reforma</w:t>
      </w:r>
    </w:p>
    <w:p w14:paraId="23C69EF3" w14:textId="77777777" w:rsidR="001A372A" w:rsidRPr="007940F9" w:rsidRDefault="00F00114" w:rsidP="0053305E">
      <w:pPr>
        <w:pStyle w:val="Compact"/>
        <w:numPr>
          <w:ilvl w:val="0"/>
          <w:numId w:val="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2026: ano de teste da CBS e do IBS, com alíquotas de teste indicadas pela Receita Federal de 0,9% para CBS e 0,1% para IBS.</w:t>
      </w:r>
    </w:p>
    <w:p w14:paraId="15CC8B66" w14:textId="77777777" w:rsidR="001A372A" w:rsidRPr="007940F9" w:rsidRDefault="00F00114" w:rsidP="0053305E">
      <w:pPr>
        <w:pStyle w:val="Compact"/>
        <w:numPr>
          <w:ilvl w:val="0"/>
          <w:numId w:val="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2027 e 2028: início da CBS, extinção de PIS/</w:t>
      </w:r>
      <w:proofErr w:type="spellStart"/>
      <w:r w:rsidRPr="007940F9">
        <w:rPr>
          <w:rFonts w:ascii="Poppins" w:hAnsi="Poppins" w:cs="Poppins"/>
        </w:rPr>
        <w:t>Cofins</w:t>
      </w:r>
      <w:proofErr w:type="spellEnd"/>
      <w:r w:rsidRPr="007940F9">
        <w:rPr>
          <w:rFonts w:ascii="Poppins" w:hAnsi="Poppins" w:cs="Poppins"/>
        </w:rPr>
        <w:t>, redução a zero do IPI para quase todos os produtos e início do Imposto Seletivo.</w:t>
      </w:r>
    </w:p>
    <w:p w14:paraId="630C8798" w14:textId="77777777" w:rsidR="001A372A" w:rsidRPr="007940F9" w:rsidRDefault="00F00114" w:rsidP="0053305E">
      <w:pPr>
        <w:pStyle w:val="Compact"/>
        <w:numPr>
          <w:ilvl w:val="0"/>
          <w:numId w:val="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2029 a 2032: transição gradual de ICMS e ISS para IBS.</w:t>
      </w:r>
    </w:p>
    <w:p w14:paraId="72BAAD41" w14:textId="77777777" w:rsidR="001A372A" w:rsidRPr="007940F9" w:rsidRDefault="00F00114" w:rsidP="0053305E">
      <w:pPr>
        <w:pStyle w:val="Compact"/>
        <w:numPr>
          <w:ilvl w:val="0"/>
          <w:numId w:val="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2033: vigência integral do novo modelo, com extinção de ICMS e ISS.</w:t>
      </w:r>
    </w:p>
    <w:p w14:paraId="7E958B0C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2" w:name="Xad433d04acd3cd39d4a8c658c94d427b0d85f85"/>
      <w:bookmarkEnd w:id="11"/>
      <w:r w:rsidRPr="007940F9">
        <w:rPr>
          <w:rFonts w:ascii="Poppins" w:hAnsi="Poppins" w:cs="Poppins"/>
          <w:color w:val="auto"/>
        </w:rPr>
        <w:lastRenderedPageBreak/>
        <w:t>1.5. Pontos de atenção para contratos administrativos</w:t>
      </w:r>
    </w:p>
    <w:p w14:paraId="4A04560D" w14:textId="77777777" w:rsidR="001A372A" w:rsidRPr="007940F9" w:rsidRDefault="00F00114" w:rsidP="0053305E">
      <w:pPr>
        <w:pStyle w:val="Compact"/>
        <w:numPr>
          <w:ilvl w:val="0"/>
          <w:numId w:val="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Diferença entre alteração normativa geral e impacto econômico contratual concreto.</w:t>
      </w:r>
    </w:p>
    <w:p w14:paraId="236612F5" w14:textId="77777777" w:rsidR="001A372A" w:rsidRPr="007940F9" w:rsidRDefault="00F00114" w:rsidP="0053305E">
      <w:pPr>
        <w:pStyle w:val="Compact"/>
        <w:numPr>
          <w:ilvl w:val="0"/>
          <w:numId w:val="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Tributação no preço contratado.</w:t>
      </w:r>
    </w:p>
    <w:p w14:paraId="1DF1F981" w14:textId="77777777" w:rsidR="001A372A" w:rsidRPr="007940F9" w:rsidRDefault="00F00114" w:rsidP="0053305E">
      <w:pPr>
        <w:pStyle w:val="Compact"/>
        <w:numPr>
          <w:ilvl w:val="0"/>
          <w:numId w:val="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Tributo como componente de custo, de preço e de fluxo de caixa.</w:t>
      </w:r>
    </w:p>
    <w:p w14:paraId="66FD7BB0" w14:textId="77777777" w:rsidR="001A372A" w:rsidRPr="007940F9" w:rsidRDefault="00F00114" w:rsidP="0053305E">
      <w:pPr>
        <w:pStyle w:val="Compact"/>
        <w:numPr>
          <w:ilvl w:val="0"/>
          <w:numId w:val="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Necessidade de preparar editais, orçamentos estimados, planilhas, fiscalização e gestão contratual para o período de transição.</w:t>
      </w:r>
    </w:p>
    <w:p w14:paraId="15411797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color w:val="auto"/>
        </w:rPr>
      </w:pPr>
      <w:bookmarkStart w:id="13" w:name="X46e9e0edb3fce6640395dcfd32cf07061f8acd4"/>
      <w:bookmarkEnd w:id="7"/>
      <w:bookmarkEnd w:id="12"/>
      <w:r w:rsidRPr="007940F9">
        <w:rPr>
          <w:rFonts w:ascii="Poppins" w:hAnsi="Poppins" w:cs="Poppins"/>
          <w:color w:val="auto"/>
        </w:rPr>
        <w:t>Módulo 2 — CBS e IBS: incidência, contribuinte, creditamento e regimes específicos</w:t>
      </w:r>
    </w:p>
    <w:p w14:paraId="1F43219C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4" w:name="hipóteses-de-incidência-da-cbs-e-do-ibs"/>
      <w:r w:rsidRPr="007940F9">
        <w:rPr>
          <w:rFonts w:ascii="Poppins" w:hAnsi="Poppins" w:cs="Poppins"/>
          <w:color w:val="auto"/>
        </w:rPr>
        <w:t>2.1. Hipóteses de incidência da CBS e do IBS</w:t>
      </w:r>
    </w:p>
    <w:p w14:paraId="6D6D22AE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Operações onerosas com bens.</w:t>
      </w:r>
    </w:p>
    <w:p w14:paraId="0ED85238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Operações onerosas com serviços.</w:t>
      </w:r>
    </w:p>
    <w:p w14:paraId="1BD6DC21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Bens materiais e imateriais.</w:t>
      </w:r>
    </w:p>
    <w:p w14:paraId="1CC790CB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Direitos, cessões, licenciamentos, disponibilizações e locações.</w:t>
      </w:r>
    </w:p>
    <w:p w14:paraId="2F0A7511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Importações de bens e serviços.</w:t>
      </w:r>
    </w:p>
    <w:p w14:paraId="3F39E54B" w14:textId="77777777" w:rsidR="001A372A" w:rsidRPr="007940F9" w:rsidRDefault="00F00114" w:rsidP="0053305E">
      <w:pPr>
        <w:pStyle w:val="Compact"/>
        <w:numPr>
          <w:ilvl w:val="0"/>
          <w:numId w:val="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Distinção entre fato gerador, base de cálculo, alíquota e sujeito passivo.</w:t>
      </w:r>
    </w:p>
    <w:p w14:paraId="2B1E391A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5" w:name="conceito-de-contribuinte-e-responsável"/>
      <w:bookmarkEnd w:id="14"/>
      <w:r w:rsidRPr="007940F9">
        <w:rPr>
          <w:rFonts w:ascii="Poppins" w:hAnsi="Poppins" w:cs="Poppins"/>
          <w:color w:val="auto"/>
        </w:rPr>
        <w:t>2.2. Conceito de contribuinte e responsável</w:t>
      </w:r>
    </w:p>
    <w:p w14:paraId="41815F88" w14:textId="77777777" w:rsidR="001A372A" w:rsidRPr="007940F9" w:rsidRDefault="00F00114" w:rsidP="0053305E">
      <w:pPr>
        <w:pStyle w:val="Compact"/>
        <w:numPr>
          <w:ilvl w:val="0"/>
          <w:numId w:val="1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Contribuinte no regime regular.</w:t>
      </w:r>
    </w:p>
    <w:p w14:paraId="1B3AAA04" w14:textId="77777777" w:rsidR="001A372A" w:rsidRPr="007940F9" w:rsidRDefault="00F00114" w:rsidP="0053305E">
      <w:pPr>
        <w:pStyle w:val="Compact"/>
        <w:numPr>
          <w:ilvl w:val="0"/>
          <w:numId w:val="1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Responsabilidade tributária.</w:t>
      </w:r>
    </w:p>
    <w:p w14:paraId="34992B7A" w14:textId="77777777" w:rsidR="001A372A" w:rsidRPr="007940F9" w:rsidRDefault="00F00114" w:rsidP="0053305E">
      <w:pPr>
        <w:pStyle w:val="Compact"/>
        <w:numPr>
          <w:ilvl w:val="0"/>
          <w:numId w:val="1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Plataformas digitais, adquirente e agentes de pagamento.</w:t>
      </w:r>
    </w:p>
    <w:p w14:paraId="7325C0DB" w14:textId="77777777" w:rsidR="001A372A" w:rsidRPr="007940F9" w:rsidRDefault="00F00114" w:rsidP="0053305E">
      <w:pPr>
        <w:pStyle w:val="Compact"/>
        <w:numPr>
          <w:ilvl w:val="0"/>
          <w:numId w:val="1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Relevância da correta identificação do fornecedor, do adquirente e do local da operação.</w:t>
      </w:r>
    </w:p>
    <w:p w14:paraId="0A649416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6" w:name="Xf9962a166371c1fe7e88c6a978e3748b72e578f"/>
      <w:bookmarkEnd w:id="15"/>
      <w:r w:rsidRPr="007940F9">
        <w:rPr>
          <w:rFonts w:ascii="Poppins" w:hAnsi="Poppins" w:cs="Poppins"/>
          <w:color w:val="auto"/>
        </w:rPr>
        <w:t>2.3. Regimes específicos, diferenciados e alíquotas reduzidas</w:t>
      </w:r>
    </w:p>
    <w:p w14:paraId="4F91D3A7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Regime regular da CBS e do IBS.</w:t>
      </w:r>
    </w:p>
    <w:p w14:paraId="28718855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Regimes específicos.</w:t>
      </w:r>
    </w:p>
    <w:p w14:paraId="2687F67A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Regimes com redução de alíquotas.</w:t>
      </w:r>
    </w:p>
    <w:p w14:paraId="490778BE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Setores com tratamento diferenciado.</w:t>
      </w:r>
    </w:p>
    <w:p w14:paraId="3EAFE35F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Serviços profissionais regulamentados e possível redução aplicável.</w:t>
      </w:r>
    </w:p>
    <w:p w14:paraId="7CB27EE3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Serviços de saúde, educação, transporte, imóveis, construção civil e demais hipóteses previstas em lei complementar.</w:t>
      </w:r>
    </w:p>
    <w:p w14:paraId="66BAC053" w14:textId="77777777" w:rsidR="001A372A" w:rsidRPr="007940F9" w:rsidRDefault="00F00114" w:rsidP="0053305E">
      <w:pPr>
        <w:pStyle w:val="Compact"/>
        <w:numPr>
          <w:ilvl w:val="0"/>
          <w:numId w:val="1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Diferença entre alíquota reduzida, base reduzida, redutor, alíquota zero e imunidade.</w:t>
      </w:r>
    </w:p>
    <w:p w14:paraId="257125B7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7" w:name="X6b664cb375ed28fb45cb431192f0850998226dd"/>
      <w:bookmarkEnd w:id="16"/>
      <w:r w:rsidRPr="007940F9">
        <w:rPr>
          <w:rFonts w:ascii="Poppins" w:hAnsi="Poppins" w:cs="Poppins"/>
          <w:color w:val="auto"/>
        </w:rPr>
        <w:t xml:space="preserve">2.4. Split </w:t>
      </w:r>
      <w:proofErr w:type="spellStart"/>
      <w:r w:rsidRPr="007940F9">
        <w:rPr>
          <w:rFonts w:ascii="Poppins" w:hAnsi="Poppins" w:cs="Poppins"/>
          <w:color w:val="auto"/>
        </w:rPr>
        <w:t>payment</w:t>
      </w:r>
      <w:proofErr w:type="spellEnd"/>
      <w:r w:rsidRPr="007940F9">
        <w:rPr>
          <w:rFonts w:ascii="Poppins" w:hAnsi="Poppins" w:cs="Poppins"/>
          <w:color w:val="auto"/>
        </w:rPr>
        <w:t xml:space="preserve"> e extinção do débito tributário</w:t>
      </w:r>
    </w:p>
    <w:p w14:paraId="00C0B719" w14:textId="77777777" w:rsidR="001A372A" w:rsidRPr="007940F9" w:rsidRDefault="00F00114" w:rsidP="0053305E">
      <w:pPr>
        <w:pStyle w:val="Compact"/>
        <w:numPr>
          <w:ilvl w:val="0"/>
          <w:numId w:val="1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 xml:space="preserve">Conceito de split </w:t>
      </w:r>
      <w:proofErr w:type="spellStart"/>
      <w:r w:rsidRPr="007940F9">
        <w:rPr>
          <w:rFonts w:ascii="Poppins" w:hAnsi="Poppins" w:cs="Poppins"/>
        </w:rPr>
        <w:t>payment</w:t>
      </w:r>
      <w:proofErr w:type="spellEnd"/>
      <w:r w:rsidRPr="007940F9">
        <w:rPr>
          <w:rFonts w:ascii="Poppins" w:hAnsi="Poppins" w:cs="Poppins"/>
        </w:rPr>
        <w:t>.</w:t>
      </w:r>
    </w:p>
    <w:p w14:paraId="7C3CF6D8" w14:textId="77777777" w:rsidR="001A372A" w:rsidRPr="007940F9" w:rsidRDefault="00F00114" w:rsidP="0053305E">
      <w:pPr>
        <w:pStyle w:val="Compact"/>
        <w:numPr>
          <w:ilvl w:val="0"/>
          <w:numId w:val="1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Segregação e recolhimento do IBS e da CBS no momento da liquidação financeira.</w:t>
      </w:r>
    </w:p>
    <w:p w14:paraId="49D6C896" w14:textId="77777777" w:rsidR="001A372A" w:rsidRPr="007940F9" w:rsidRDefault="00F00114" w:rsidP="0053305E">
      <w:pPr>
        <w:pStyle w:val="Compact"/>
        <w:numPr>
          <w:ilvl w:val="0"/>
          <w:numId w:val="1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Papel dos prestadores de serviços de pagamento e instituições operadoras de sistemas de pagamento.</w:t>
      </w:r>
    </w:p>
    <w:p w14:paraId="4FD9FB22" w14:textId="77777777" w:rsidR="001A372A" w:rsidRPr="007940F9" w:rsidRDefault="00F00114" w:rsidP="0053305E">
      <w:pPr>
        <w:pStyle w:val="Compact"/>
        <w:numPr>
          <w:ilvl w:val="0"/>
          <w:numId w:val="1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Impactos sobre fluxo de caixa, conciliação financeira, notas fiscais, retenções e fiscalização contratual.</w:t>
      </w:r>
    </w:p>
    <w:p w14:paraId="78841C9E" w14:textId="77777777" w:rsidR="001A372A" w:rsidRPr="007940F9" w:rsidRDefault="00F00114" w:rsidP="0053305E">
      <w:pPr>
        <w:pStyle w:val="Compact"/>
        <w:numPr>
          <w:ilvl w:val="0"/>
          <w:numId w:val="1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Recolhimento pelo adquirente em hipóteses específicas. A LC nº 214/2025 prevê regras de segregação e recolhimento do IBS e da CBS na liquidação financeira da transação de pagamento, inclusive com implementação gradual do sistema.</w:t>
      </w:r>
    </w:p>
    <w:p w14:paraId="7F4ACE5C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18" w:name="ampliação-da-base-de-creditamento"/>
      <w:bookmarkEnd w:id="17"/>
      <w:r w:rsidRPr="007940F9">
        <w:rPr>
          <w:rFonts w:ascii="Poppins" w:hAnsi="Poppins" w:cs="Poppins"/>
          <w:color w:val="auto"/>
        </w:rPr>
        <w:t>2.5. Ampliação da base de creditamento</w:t>
      </w:r>
    </w:p>
    <w:p w14:paraId="73DB8E17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Crédito financeiro amplo.</w:t>
      </w:r>
    </w:p>
    <w:p w14:paraId="48E6ED22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Crédito condicionado à operação e ao tributo pago.</w:t>
      </w:r>
    </w:p>
    <w:p w14:paraId="5E241707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Tributo recuperável e não recuperável.</w:t>
      </w:r>
    </w:p>
    <w:p w14:paraId="2994540A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Apropriação, utilização, estorno e glosa de créditos.</w:t>
      </w:r>
    </w:p>
    <w:p w14:paraId="3A68DE12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 xml:space="preserve">A “armadilha da alíquota nominal”: </w:t>
      </w:r>
      <w:proofErr w:type="gramStart"/>
      <w:r w:rsidRPr="007940F9">
        <w:rPr>
          <w:rFonts w:ascii="Poppins" w:hAnsi="Poppins" w:cs="Poppins"/>
        </w:rPr>
        <w:t>por que</w:t>
      </w:r>
      <w:proofErr w:type="gramEnd"/>
      <w:r w:rsidRPr="007940F9">
        <w:rPr>
          <w:rFonts w:ascii="Poppins" w:hAnsi="Poppins" w:cs="Poppins"/>
        </w:rPr>
        <w:t xml:space="preserve"> a alíquota aparente não corresponde necessariamente ao custo efetivo.</w:t>
      </w:r>
    </w:p>
    <w:p w14:paraId="641C3B98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Comparação entre fornecedor que se credita integralmente e fornecedor que não se credita.</w:t>
      </w:r>
    </w:p>
    <w:p w14:paraId="2A271501" w14:textId="77777777" w:rsidR="001A372A" w:rsidRPr="007940F9" w:rsidRDefault="00F00114" w:rsidP="0053305E">
      <w:pPr>
        <w:pStyle w:val="Compact"/>
        <w:numPr>
          <w:ilvl w:val="0"/>
          <w:numId w:val="1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Efeitos do regime de tributação do contratado sobre o preço ofertado.</w:t>
      </w:r>
    </w:p>
    <w:p w14:paraId="79B3886F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color w:val="auto"/>
        </w:rPr>
      </w:pPr>
      <w:bookmarkStart w:id="19" w:name="X0500564329b5ef42446f599f0e195d10fcc4993"/>
      <w:bookmarkEnd w:id="13"/>
      <w:bookmarkEnd w:id="18"/>
      <w:r w:rsidRPr="007940F9">
        <w:rPr>
          <w:rFonts w:ascii="Poppins" w:hAnsi="Poppins" w:cs="Poppins"/>
          <w:color w:val="auto"/>
        </w:rPr>
        <w:t>Módulo 3 — Equilíbrio econômico-financeiro e formação de preços nos contratos administrativos</w:t>
      </w:r>
    </w:p>
    <w:p w14:paraId="6885FA72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0" w:name="Xa9ffe496ce47b8f55cc806b85b99ad11257156d"/>
      <w:r w:rsidRPr="007940F9">
        <w:rPr>
          <w:rFonts w:ascii="Poppins" w:hAnsi="Poppins" w:cs="Poppins"/>
          <w:color w:val="auto"/>
        </w:rPr>
        <w:t>3.1. Dever constitucional e legal de preservação do equilíbrio econômico-financeiro</w:t>
      </w:r>
    </w:p>
    <w:p w14:paraId="76E5D688" w14:textId="77777777" w:rsidR="001A372A" w:rsidRPr="007940F9" w:rsidRDefault="00F00114" w:rsidP="0053305E">
      <w:pPr>
        <w:pStyle w:val="Compact"/>
        <w:numPr>
          <w:ilvl w:val="0"/>
          <w:numId w:val="1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Equação econômico-financeira inicial.</w:t>
      </w:r>
    </w:p>
    <w:p w14:paraId="6A64078E" w14:textId="77777777" w:rsidR="001A372A" w:rsidRPr="007940F9" w:rsidRDefault="00F00114" w:rsidP="0053305E">
      <w:pPr>
        <w:pStyle w:val="Compact"/>
        <w:numPr>
          <w:ilvl w:val="0"/>
          <w:numId w:val="1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Relação entre proposta, matriz de riscos, contrato e execução.</w:t>
      </w:r>
    </w:p>
    <w:p w14:paraId="1A82BF03" w14:textId="77777777" w:rsidR="001A372A" w:rsidRPr="007940F9" w:rsidRDefault="00F00114" w:rsidP="0053305E">
      <w:pPr>
        <w:pStyle w:val="Compact"/>
        <w:numPr>
          <w:ilvl w:val="0"/>
          <w:numId w:val="1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Eventos previsíveis, imprevisíveis e previsíveis de consequências incalculáveis.</w:t>
      </w:r>
    </w:p>
    <w:p w14:paraId="24E68333" w14:textId="77777777" w:rsidR="001A372A" w:rsidRPr="007940F9" w:rsidRDefault="00F00114" w:rsidP="0053305E">
      <w:pPr>
        <w:pStyle w:val="Compact"/>
        <w:numPr>
          <w:ilvl w:val="0"/>
          <w:numId w:val="1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Alteração tributária e repercussão nos contratos administrativos.</w:t>
      </w:r>
    </w:p>
    <w:p w14:paraId="3A43FC57" w14:textId="77777777" w:rsidR="001A372A" w:rsidRPr="007940F9" w:rsidRDefault="00F00114" w:rsidP="0053305E">
      <w:pPr>
        <w:pStyle w:val="Compact"/>
        <w:numPr>
          <w:ilvl w:val="0"/>
          <w:numId w:val="1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 Lei nº 14.133/2021 disciplina instrumentos contratuais e matriz de riscos, incluindo o tratamento do equilíbrio econômico-financeiro em face de eventos supervenientes.</w:t>
      </w:r>
    </w:p>
    <w:p w14:paraId="5D347403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1" w:name="Xcfe25bdb1b6736976572522dd9659639777900e"/>
      <w:bookmarkEnd w:id="20"/>
      <w:r w:rsidRPr="007940F9">
        <w:rPr>
          <w:rFonts w:ascii="Poppins" w:hAnsi="Poppins" w:cs="Poppins"/>
          <w:color w:val="auto"/>
        </w:rPr>
        <w:t>3.2. Instrumentos de manutenção e recomposição</w:t>
      </w:r>
    </w:p>
    <w:p w14:paraId="40539233" w14:textId="77777777" w:rsidR="001A372A" w:rsidRPr="007940F9" w:rsidRDefault="00F00114" w:rsidP="0053305E">
      <w:pPr>
        <w:pStyle w:val="Compact"/>
        <w:numPr>
          <w:ilvl w:val="0"/>
          <w:numId w:val="1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Reajuste:</w:t>
      </w:r>
    </w:p>
    <w:p w14:paraId="611C72B6" w14:textId="77777777" w:rsidR="001A372A" w:rsidRPr="007940F9" w:rsidRDefault="00F00114" w:rsidP="0053305E">
      <w:pPr>
        <w:pStyle w:val="Compact"/>
        <w:numPr>
          <w:ilvl w:val="1"/>
          <w:numId w:val="1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finalidade;</w:t>
      </w:r>
    </w:p>
    <w:p w14:paraId="1B699533" w14:textId="77777777" w:rsidR="001A372A" w:rsidRPr="007940F9" w:rsidRDefault="00F00114" w:rsidP="0053305E">
      <w:pPr>
        <w:pStyle w:val="Compact"/>
        <w:numPr>
          <w:ilvl w:val="1"/>
          <w:numId w:val="1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periodicidade;</w:t>
      </w:r>
    </w:p>
    <w:p w14:paraId="3C8D7A47" w14:textId="77777777" w:rsidR="001A372A" w:rsidRPr="007940F9" w:rsidRDefault="00F00114" w:rsidP="0053305E">
      <w:pPr>
        <w:pStyle w:val="Compact"/>
        <w:numPr>
          <w:ilvl w:val="1"/>
          <w:numId w:val="1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índices;</w:t>
      </w:r>
    </w:p>
    <w:p w14:paraId="1A98CAD7" w14:textId="77777777" w:rsidR="001A372A" w:rsidRPr="007940F9" w:rsidRDefault="00F00114" w:rsidP="0053305E">
      <w:pPr>
        <w:pStyle w:val="Compact"/>
        <w:numPr>
          <w:ilvl w:val="1"/>
          <w:numId w:val="16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recomposição inflacionária ordinária.</w:t>
      </w:r>
    </w:p>
    <w:p w14:paraId="72AA53CC" w14:textId="77777777" w:rsidR="001A372A" w:rsidRPr="007940F9" w:rsidRDefault="00F00114" w:rsidP="0053305E">
      <w:pPr>
        <w:pStyle w:val="Compact"/>
        <w:numPr>
          <w:ilvl w:val="0"/>
          <w:numId w:val="1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Repactuação:</w:t>
      </w:r>
    </w:p>
    <w:p w14:paraId="0B5DB412" w14:textId="77777777" w:rsidR="001A372A" w:rsidRPr="007940F9" w:rsidRDefault="00F00114" w:rsidP="0053305E">
      <w:pPr>
        <w:pStyle w:val="Compact"/>
        <w:numPr>
          <w:ilvl w:val="1"/>
          <w:numId w:val="1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contratos com predominância de mão de obra;</w:t>
      </w:r>
    </w:p>
    <w:p w14:paraId="24D1CCDD" w14:textId="77777777" w:rsidR="001A372A" w:rsidRPr="007940F9" w:rsidRDefault="00F00114" w:rsidP="0053305E">
      <w:pPr>
        <w:pStyle w:val="Compact"/>
        <w:numPr>
          <w:ilvl w:val="1"/>
          <w:numId w:val="1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variação de custos trabalhistas;</w:t>
      </w:r>
    </w:p>
    <w:p w14:paraId="1FAD0836" w14:textId="77777777" w:rsidR="001A372A" w:rsidRPr="007940F9" w:rsidRDefault="00F00114" w:rsidP="0053305E">
      <w:pPr>
        <w:pStyle w:val="Compact"/>
        <w:numPr>
          <w:ilvl w:val="1"/>
          <w:numId w:val="1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demonstração analítica;</w:t>
      </w:r>
    </w:p>
    <w:p w14:paraId="4C20D5DC" w14:textId="77777777" w:rsidR="001A372A" w:rsidRPr="007940F9" w:rsidRDefault="00F00114" w:rsidP="0053305E">
      <w:pPr>
        <w:pStyle w:val="Compact"/>
        <w:numPr>
          <w:ilvl w:val="1"/>
          <w:numId w:val="17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data-base e convenções coletivas.</w:t>
      </w:r>
    </w:p>
    <w:p w14:paraId="22B93563" w14:textId="77777777" w:rsidR="001A372A" w:rsidRPr="007940F9" w:rsidRDefault="00F00114" w:rsidP="0053305E">
      <w:pPr>
        <w:pStyle w:val="Compact"/>
        <w:numPr>
          <w:ilvl w:val="0"/>
          <w:numId w:val="15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Revisão:</w:t>
      </w:r>
    </w:p>
    <w:p w14:paraId="3641CFFC" w14:textId="77777777" w:rsidR="001A372A" w:rsidRPr="007940F9" w:rsidRDefault="00F00114" w:rsidP="0053305E">
      <w:pPr>
        <w:pStyle w:val="Compact"/>
        <w:numPr>
          <w:ilvl w:val="1"/>
          <w:numId w:val="1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fato superveniente;</w:t>
      </w:r>
    </w:p>
    <w:p w14:paraId="15D4D928" w14:textId="77777777" w:rsidR="001A372A" w:rsidRPr="007940F9" w:rsidRDefault="00F00114" w:rsidP="0053305E">
      <w:pPr>
        <w:pStyle w:val="Compact"/>
        <w:numPr>
          <w:ilvl w:val="1"/>
          <w:numId w:val="1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alteração da carga tributária efetiva;</w:t>
      </w:r>
    </w:p>
    <w:p w14:paraId="219B8882" w14:textId="77777777" w:rsidR="001A372A" w:rsidRPr="007940F9" w:rsidRDefault="00F00114" w:rsidP="0053305E">
      <w:pPr>
        <w:pStyle w:val="Compact"/>
        <w:numPr>
          <w:ilvl w:val="1"/>
          <w:numId w:val="1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prova do desequilíbrio;</w:t>
      </w:r>
    </w:p>
    <w:p w14:paraId="66D0A6CF" w14:textId="77777777" w:rsidR="001A372A" w:rsidRPr="007940F9" w:rsidRDefault="00F00114" w:rsidP="0053305E">
      <w:pPr>
        <w:pStyle w:val="Compact"/>
        <w:numPr>
          <w:ilvl w:val="1"/>
          <w:numId w:val="1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efeitos prospectivos e retrospectivos;</w:t>
      </w:r>
    </w:p>
    <w:p w14:paraId="6D9C4D41" w14:textId="77777777" w:rsidR="001A372A" w:rsidRPr="007940F9" w:rsidRDefault="00F00114" w:rsidP="0053305E">
      <w:pPr>
        <w:pStyle w:val="Compact"/>
        <w:numPr>
          <w:ilvl w:val="1"/>
          <w:numId w:val="1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limites da recomposição.</w:t>
      </w:r>
    </w:p>
    <w:p w14:paraId="204CB2B2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2" w:name="X073cd494d8633f6f2315bf02921b5f52c581cc1"/>
      <w:bookmarkEnd w:id="21"/>
      <w:r w:rsidRPr="007940F9">
        <w:rPr>
          <w:rFonts w:ascii="Poppins" w:hAnsi="Poppins" w:cs="Poppins"/>
          <w:color w:val="auto"/>
        </w:rPr>
        <w:t>3.3. Reforma Tributária e reequilíbrio contratual</w:t>
      </w:r>
    </w:p>
    <w:p w14:paraId="397028B6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Distinção entre alteração legislativa e desequilíbrio efetivo.</w:t>
      </w:r>
    </w:p>
    <w:p w14:paraId="1ED6A3FD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Impacto da instituição da CBS e do IBS.</w:t>
      </w:r>
    </w:p>
    <w:p w14:paraId="2B5DDA88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Impacto da extinção ou redução de PIS/</w:t>
      </w:r>
      <w:proofErr w:type="spellStart"/>
      <w:r w:rsidRPr="007940F9">
        <w:rPr>
          <w:rFonts w:ascii="Poppins" w:hAnsi="Poppins" w:cs="Poppins"/>
        </w:rPr>
        <w:t>Cofins</w:t>
      </w:r>
      <w:proofErr w:type="spellEnd"/>
      <w:r w:rsidRPr="007940F9">
        <w:rPr>
          <w:rFonts w:ascii="Poppins" w:hAnsi="Poppins" w:cs="Poppins"/>
        </w:rPr>
        <w:t>, ICMS, ISS e IPI.</w:t>
      </w:r>
    </w:p>
    <w:p w14:paraId="4A956108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Benefícios, reduções, créditos e neutralizações.</w:t>
      </w:r>
    </w:p>
    <w:p w14:paraId="5FB850A3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Dever de revisão de ofício quando houver redução da carga tributária efetiva.</w:t>
      </w:r>
    </w:p>
    <w:p w14:paraId="3CFA6A29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Pedido de revisão pela contratada quando houver aumento comprovado da carga tributária efetiva.</w:t>
      </w:r>
    </w:p>
    <w:p w14:paraId="6DC784C7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Procedimento administrativo específico para demonstração do desequilíbrio.</w:t>
      </w:r>
    </w:p>
    <w:p w14:paraId="1A3DB6FD" w14:textId="77777777" w:rsidR="001A372A" w:rsidRPr="007940F9" w:rsidRDefault="00F00114" w:rsidP="0053305E">
      <w:pPr>
        <w:pStyle w:val="Compact"/>
        <w:numPr>
          <w:ilvl w:val="0"/>
          <w:numId w:val="19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A LC nº 214/2025 prevê disciplina específica para contratos administrativos, inclusive restabelecimento do equilíbrio econômico-financeiro quando comprovado desequilíbrio decorrente da instituição do IBS e da CBS.</w:t>
      </w:r>
    </w:p>
    <w:p w14:paraId="4CA1C294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3" w:name="planilha-de-custos-e-formação-de-preços"/>
      <w:bookmarkEnd w:id="22"/>
      <w:r w:rsidRPr="007940F9">
        <w:rPr>
          <w:rFonts w:ascii="Poppins" w:hAnsi="Poppins" w:cs="Poppins"/>
          <w:color w:val="auto"/>
        </w:rPr>
        <w:t>3.4. Planilha de custos e formação de preços</w:t>
      </w:r>
    </w:p>
    <w:p w14:paraId="74B28A38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Estrutura da planilha em contratos com dedicação exclusiva de mão de obra.</w:t>
      </w:r>
    </w:p>
    <w:p w14:paraId="006D7A1D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Módulos de mão de obra, benefícios, insumos, encargos, despesas administrativas, lucro e tributos.</w:t>
      </w:r>
    </w:p>
    <w:p w14:paraId="02F25014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Tributos recuperáveis e não recuperáveis.</w:t>
      </w:r>
    </w:p>
    <w:p w14:paraId="24F6C2D2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Tributos sobre faturamento e tributos sobre consumo.</w:t>
      </w:r>
    </w:p>
    <w:p w14:paraId="299CB011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Como demonstrar o impacto tributário na planilha.</w:t>
      </w:r>
    </w:p>
    <w:p w14:paraId="7B1B4916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Reflexos da CBS e do IBS no orçamento estimado.</w:t>
      </w:r>
    </w:p>
    <w:p w14:paraId="60CFCF6F" w14:textId="77777777" w:rsidR="001A372A" w:rsidRPr="007940F9" w:rsidRDefault="00F00114" w:rsidP="0053305E">
      <w:pPr>
        <w:pStyle w:val="Compact"/>
        <w:numPr>
          <w:ilvl w:val="0"/>
          <w:numId w:val="2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Reflexos da reforma na pesquisa de preços.</w:t>
      </w:r>
    </w:p>
    <w:p w14:paraId="1F55AFEA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4" w:name="Xf3a5b9c648f56150993e0c3a506ac1f2d6eae5e"/>
      <w:bookmarkEnd w:id="23"/>
      <w:r w:rsidRPr="007940F9">
        <w:rPr>
          <w:rFonts w:ascii="Poppins" w:hAnsi="Poppins" w:cs="Poppins"/>
          <w:color w:val="auto"/>
        </w:rPr>
        <w:t>3.5. Regimes de tributação e seus efeitos nos contratos administrativos</w:t>
      </w:r>
    </w:p>
    <w:p w14:paraId="354A6EA3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Lucro real.</w:t>
      </w:r>
    </w:p>
    <w:p w14:paraId="038339C3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Lucro presumido.</w:t>
      </w:r>
    </w:p>
    <w:p w14:paraId="5C4B9972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Simples Nacional.</w:t>
      </w:r>
    </w:p>
    <w:p w14:paraId="5B4A9FAD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Diferença entre carga tributária global da empresa e impacto tributário específico do contrato.</w:t>
      </w:r>
    </w:p>
    <w:p w14:paraId="58DC93F3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Necessidade de análise por CNPJ, por regime, por operação e por período de apuração.</w:t>
      </w:r>
    </w:p>
    <w:p w14:paraId="2124C4E5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Efeitos do creditamento na precificação.</w:t>
      </w:r>
    </w:p>
    <w:p w14:paraId="1AA24316" w14:textId="77777777" w:rsidR="001A372A" w:rsidRPr="007940F9" w:rsidRDefault="00F00114" w:rsidP="0053305E">
      <w:pPr>
        <w:pStyle w:val="Compact"/>
        <w:numPr>
          <w:ilvl w:val="0"/>
          <w:numId w:val="2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Tratamento do fornecedor optante do Simples Nacional no contexto do novo regime.</w:t>
      </w:r>
    </w:p>
    <w:p w14:paraId="5DF457D1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5" w:name="cálculo-do-imposto-por-dentro"/>
      <w:bookmarkEnd w:id="24"/>
      <w:r w:rsidRPr="007940F9">
        <w:rPr>
          <w:rFonts w:ascii="Poppins" w:hAnsi="Poppins" w:cs="Poppins"/>
          <w:color w:val="auto"/>
        </w:rPr>
        <w:t>3.6. Cálculo do imposto “por dentro”</w:t>
      </w:r>
    </w:p>
    <w:p w14:paraId="01D9C8F1" w14:textId="77777777" w:rsidR="001A372A" w:rsidRPr="007940F9" w:rsidRDefault="00F00114" w:rsidP="0053305E">
      <w:pPr>
        <w:pStyle w:val="Compact"/>
        <w:numPr>
          <w:ilvl w:val="0"/>
          <w:numId w:val="2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Conceito de imposto por dentro.</w:t>
      </w:r>
    </w:p>
    <w:p w14:paraId="1AFE7B21" w14:textId="77777777" w:rsidR="001A372A" w:rsidRPr="007940F9" w:rsidRDefault="00F00114" w:rsidP="0053305E">
      <w:pPr>
        <w:pStyle w:val="Compact"/>
        <w:numPr>
          <w:ilvl w:val="0"/>
          <w:numId w:val="2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Diferença entre alíquota nominal e alíquota efetiva.</w:t>
      </w:r>
    </w:p>
    <w:p w14:paraId="2FC64F99" w14:textId="77777777" w:rsidR="001A372A" w:rsidRPr="007940F9" w:rsidRDefault="00F00114" w:rsidP="0053305E">
      <w:pPr>
        <w:pStyle w:val="Compact"/>
        <w:numPr>
          <w:ilvl w:val="0"/>
          <w:numId w:val="2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 xml:space="preserve">Fórmula geral de </w:t>
      </w:r>
      <w:proofErr w:type="spellStart"/>
      <w:r w:rsidRPr="007940F9">
        <w:rPr>
          <w:rFonts w:ascii="Poppins" w:hAnsi="Poppins" w:cs="Poppins"/>
        </w:rPr>
        <w:t>gross-up</w:t>
      </w:r>
      <w:proofErr w:type="spellEnd"/>
      <w:r w:rsidRPr="007940F9">
        <w:rPr>
          <w:rFonts w:ascii="Poppins" w:hAnsi="Poppins" w:cs="Poppins"/>
        </w:rPr>
        <w:t>.</w:t>
      </w:r>
    </w:p>
    <w:p w14:paraId="65E86A4F" w14:textId="77777777" w:rsidR="001A372A" w:rsidRPr="007940F9" w:rsidRDefault="00F00114" w:rsidP="0053305E">
      <w:pPr>
        <w:pStyle w:val="Compact"/>
        <w:numPr>
          <w:ilvl w:val="0"/>
          <w:numId w:val="2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Aplicação em planilhas de custos.</w:t>
      </w:r>
    </w:p>
    <w:p w14:paraId="20434EB7" w14:textId="77777777" w:rsidR="001A372A" w:rsidRPr="007940F9" w:rsidRDefault="00F00114" w:rsidP="0053305E">
      <w:pPr>
        <w:pStyle w:val="Compact"/>
        <w:numPr>
          <w:ilvl w:val="0"/>
          <w:numId w:val="2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Identificação de erros frequentes:</w:t>
      </w:r>
    </w:p>
    <w:p w14:paraId="512F792D" w14:textId="77777777" w:rsidR="001A372A" w:rsidRPr="007940F9" w:rsidRDefault="00F00114" w:rsidP="0053305E">
      <w:pPr>
        <w:pStyle w:val="Compact"/>
        <w:numPr>
          <w:ilvl w:val="1"/>
          <w:numId w:val="2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aplicar alíquota nominal diretamente sobre o custo;</w:t>
      </w:r>
    </w:p>
    <w:p w14:paraId="2548A41E" w14:textId="77777777" w:rsidR="001A372A" w:rsidRPr="007940F9" w:rsidRDefault="00F00114" w:rsidP="0053305E">
      <w:pPr>
        <w:pStyle w:val="Compact"/>
        <w:numPr>
          <w:ilvl w:val="1"/>
          <w:numId w:val="2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ignorar crédito recuperável;</w:t>
      </w:r>
    </w:p>
    <w:p w14:paraId="6ECCD488" w14:textId="77777777" w:rsidR="001A372A" w:rsidRPr="007940F9" w:rsidRDefault="00F00114" w:rsidP="0053305E">
      <w:pPr>
        <w:pStyle w:val="Compact"/>
        <w:numPr>
          <w:ilvl w:val="1"/>
          <w:numId w:val="2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duplicar tributo na planilha;</w:t>
      </w:r>
    </w:p>
    <w:p w14:paraId="43026A1B" w14:textId="77777777" w:rsidR="001A372A" w:rsidRPr="007940F9" w:rsidRDefault="00F00114" w:rsidP="0053305E">
      <w:pPr>
        <w:pStyle w:val="Compact"/>
        <w:numPr>
          <w:ilvl w:val="1"/>
          <w:numId w:val="2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tratar tributo recuperável como custo;</w:t>
      </w:r>
    </w:p>
    <w:p w14:paraId="4EAD5BA9" w14:textId="77777777" w:rsidR="001A372A" w:rsidRPr="007940F9" w:rsidRDefault="00F00114" w:rsidP="0053305E">
      <w:pPr>
        <w:pStyle w:val="Compact"/>
        <w:numPr>
          <w:ilvl w:val="1"/>
          <w:numId w:val="23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desconsiderar a redução aplicável à Administração Pública.</w:t>
      </w:r>
    </w:p>
    <w:p w14:paraId="48584DB4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color w:val="auto"/>
        </w:rPr>
      </w:pPr>
      <w:bookmarkStart w:id="26" w:name="X788158dcd0b422aee50b61760d6d1c11434a2c1"/>
      <w:bookmarkEnd w:id="19"/>
      <w:bookmarkEnd w:id="25"/>
      <w:r w:rsidRPr="007940F9">
        <w:rPr>
          <w:rFonts w:ascii="Poppins" w:hAnsi="Poppins" w:cs="Poppins"/>
          <w:color w:val="auto"/>
        </w:rPr>
        <w:t>Módulo 4 — Impactos setoriais nos contratos administrativos</w:t>
      </w:r>
    </w:p>
    <w:p w14:paraId="53D5FC0D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7" w:name="Xc94cfa6b28a37c7447ca28afebd7651815c39ac"/>
      <w:r w:rsidRPr="007940F9">
        <w:rPr>
          <w:rFonts w:ascii="Poppins" w:hAnsi="Poppins" w:cs="Poppins"/>
          <w:color w:val="auto"/>
        </w:rPr>
        <w:t>4.1. Operações contratadas pela Administração Pública</w:t>
      </w:r>
    </w:p>
    <w:p w14:paraId="53336A8B" w14:textId="77777777" w:rsidR="001A372A" w:rsidRPr="007940F9" w:rsidRDefault="00F00114" w:rsidP="0053305E">
      <w:pPr>
        <w:pStyle w:val="Compact"/>
        <w:numPr>
          <w:ilvl w:val="0"/>
          <w:numId w:val="2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Regime aplicável quando a Administração Pública é adquirente.</w:t>
      </w:r>
    </w:p>
    <w:p w14:paraId="768B3EF1" w14:textId="77777777" w:rsidR="001A372A" w:rsidRPr="007940F9" w:rsidRDefault="00F00114" w:rsidP="0053305E">
      <w:pPr>
        <w:pStyle w:val="Compact"/>
        <w:numPr>
          <w:ilvl w:val="0"/>
          <w:numId w:val="2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Redutor das alíquotas da CBS e do IBS nas operações contratadas pela Administração Pública entre 2027 e 2033.</w:t>
      </w:r>
    </w:p>
    <w:p w14:paraId="56FAABB2" w14:textId="77777777" w:rsidR="001A372A" w:rsidRPr="007940F9" w:rsidRDefault="00F00114" w:rsidP="0053305E">
      <w:pPr>
        <w:pStyle w:val="Compact"/>
        <w:numPr>
          <w:ilvl w:val="0"/>
          <w:numId w:val="2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Destinação da arrecadação ao ente público contratante.</w:t>
      </w:r>
    </w:p>
    <w:p w14:paraId="6999A726" w14:textId="77777777" w:rsidR="001A372A" w:rsidRPr="007940F9" w:rsidRDefault="00F00114" w:rsidP="0053305E">
      <w:pPr>
        <w:pStyle w:val="Compact"/>
        <w:numPr>
          <w:ilvl w:val="0"/>
          <w:numId w:val="2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Impactos na estimativa de preços e na fiscalização da nota fiscal.</w:t>
      </w:r>
    </w:p>
    <w:p w14:paraId="46AE54B1" w14:textId="77777777" w:rsidR="001A372A" w:rsidRPr="007940F9" w:rsidRDefault="00F00114" w:rsidP="0053305E">
      <w:pPr>
        <w:pStyle w:val="Compact"/>
        <w:numPr>
          <w:ilvl w:val="0"/>
          <w:numId w:val="24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 LC nº 214/2025 contempla redutor aplicável às alíquotas da CBS e do IBS em operações contratadas pela Administração Pública direta, autarquias e fundações públicas no período de 2027 a 2033.</w:t>
      </w:r>
    </w:p>
    <w:p w14:paraId="1C1E2C42" w14:textId="6B66A0E2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28" w:name="X84983c2a53cc0552593e14fcc6074ead0df1649"/>
      <w:bookmarkEnd w:id="27"/>
      <w:r w:rsidRPr="007940F9">
        <w:rPr>
          <w:rFonts w:ascii="Poppins" w:hAnsi="Poppins" w:cs="Poppins"/>
          <w:color w:val="auto"/>
        </w:rPr>
        <w:t>4.</w:t>
      </w:r>
      <w:r w:rsidR="007560FC">
        <w:rPr>
          <w:rFonts w:ascii="Poppins" w:hAnsi="Poppins" w:cs="Poppins"/>
          <w:color w:val="auto"/>
        </w:rPr>
        <w:t>2</w:t>
      </w:r>
      <w:r w:rsidRPr="007940F9">
        <w:rPr>
          <w:rFonts w:ascii="Poppins" w:hAnsi="Poppins" w:cs="Poppins"/>
          <w:color w:val="auto"/>
        </w:rPr>
        <w:t>. Dever legal de revisar contratos administrativos durante a reforma</w:t>
      </w:r>
    </w:p>
    <w:p w14:paraId="4C94A97B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Revisão de ofício pela Administração.</w:t>
      </w:r>
    </w:p>
    <w:p w14:paraId="7E36B4CA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Pleito de revisão pela contratada.</w:t>
      </w:r>
    </w:p>
    <w:p w14:paraId="13C292CF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Processo administrativo específico.</w:t>
      </w:r>
    </w:p>
    <w:p w14:paraId="2A86D88E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Contraditório e documentação comprobatória.</w:t>
      </w:r>
    </w:p>
    <w:p w14:paraId="122E92C2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Demonstração da alteração da carga tributária efetiva.</w:t>
      </w:r>
    </w:p>
    <w:p w14:paraId="1FC0E7C8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Critério “caso a caso”: impossibilidade de presunção automática de aumento ou redução do preço.</w:t>
      </w:r>
    </w:p>
    <w:p w14:paraId="4688AC30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Períodos de transição e marcos temporais relevantes.</w:t>
      </w:r>
    </w:p>
    <w:p w14:paraId="044280B0" w14:textId="77777777" w:rsidR="001A372A" w:rsidRPr="007940F9" w:rsidRDefault="00F00114" w:rsidP="0053305E">
      <w:pPr>
        <w:pStyle w:val="Compact"/>
        <w:numPr>
          <w:ilvl w:val="0"/>
          <w:numId w:val="30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Efeitos em contratos vigentes, contratos decorrentes de propostas anteriores e contratos futuros.</w:t>
      </w:r>
    </w:p>
    <w:p w14:paraId="34B4C83E" w14:textId="77777777" w:rsidR="001A372A" w:rsidRPr="007940F9" w:rsidRDefault="00F00114" w:rsidP="0053305E">
      <w:pPr>
        <w:pStyle w:val="Ttulo2"/>
        <w:jc w:val="both"/>
        <w:rPr>
          <w:rFonts w:ascii="Poppins" w:hAnsi="Poppins" w:cs="Poppins"/>
          <w:color w:val="auto"/>
        </w:rPr>
      </w:pPr>
      <w:bookmarkStart w:id="29" w:name="Xd3fbe933869f701aefe057aac1fb3cecd583f6b"/>
      <w:bookmarkEnd w:id="26"/>
      <w:bookmarkEnd w:id="28"/>
      <w:r w:rsidRPr="007940F9">
        <w:rPr>
          <w:rFonts w:ascii="Poppins" w:hAnsi="Poppins" w:cs="Poppins"/>
          <w:color w:val="auto"/>
        </w:rPr>
        <w:t>Módulo 5 — Oficina prática: simulações de impactos em contratos administrativos</w:t>
      </w:r>
    </w:p>
    <w:p w14:paraId="4C284831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30" w:name="Xbaf321e398cef5a5dc1c4ebb1a8f7585dfe17c6"/>
      <w:r w:rsidRPr="007940F9">
        <w:rPr>
          <w:rFonts w:ascii="Poppins" w:hAnsi="Poppins" w:cs="Poppins"/>
          <w:color w:val="auto"/>
        </w:rPr>
        <w:t>5.1. Exercício 1 — Contrato de limpeza com dedicação exclusiva de mão de obra</w:t>
      </w:r>
    </w:p>
    <w:p w14:paraId="406655F8" w14:textId="77777777" w:rsidR="001A372A" w:rsidRPr="007940F9" w:rsidRDefault="00F00114" w:rsidP="0053305E">
      <w:pPr>
        <w:pStyle w:val="Compact"/>
        <w:numPr>
          <w:ilvl w:val="0"/>
          <w:numId w:val="3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Identificação dos itens tributáveis.</w:t>
      </w:r>
    </w:p>
    <w:p w14:paraId="30FCE097" w14:textId="77777777" w:rsidR="001A372A" w:rsidRPr="007940F9" w:rsidRDefault="00F00114" w:rsidP="0053305E">
      <w:pPr>
        <w:pStyle w:val="Compact"/>
        <w:numPr>
          <w:ilvl w:val="0"/>
          <w:numId w:val="3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lastRenderedPageBreak/>
        <w:t>Separação entre mão de obra, insumos, despesas administrativas, lucro e tributos.</w:t>
      </w:r>
    </w:p>
    <w:p w14:paraId="7040BDFF" w14:textId="77777777" w:rsidR="001A372A" w:rsidRPr="007940F9" w:rsidRDefault="00F00114" w:rsidP="0053305E">
      <w:pPr>
        <w:pStyle w:val="Compact"/>
        <w:numPr>
          <w:ilvl w:val="0"/>
          <w:numId w:val="3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Comparação entre cenário anterior e cenário com CBS/IBS.</w:t>
      </w:r>
    </w:p>
    <w:p w14:paraId="7EC5C1DD" w14:textId="77777777" w:rsidR="001A372A" w:rsidRPr="007940F9" w:rsidRDefault="00F00114" w:rsidP="0053305E">
      <w:pPr>
        <w:pStyle w:val="Compact"/>
        <w:numPr>
          <w:ilvl w:val="0"/>
          <w:numId w:val="3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Cálculo do impacto na planilha.</w:t>
      </w:r>
    </w:p>
    <w:p w14:paraId="03AB4096" w14:textId="77777777" w:rsidR="001A372A" w:rsidRPr="007940F9" w:rsidRDefault="00F00114" w:rsidP="0053305E">
      <w:pPr>
        <w:pStyle w:val="Compact"/>
        <w:numPr>
          <w:ilvl w:val="0"/>
          <w:numId w:val="31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Identificação de eventual necessidade de revisão.</w:t>
      </w:r>
    </w:p>
    <w:p w14:paraId="5BD9735D" w14:textId="77777777" w:rsidR="001A372A" w:rsidRPr="007940F9" w:rsidRDefault="00F00114" w:rsidP="0053305E">
      <w:pPr>
        <w:pStyle w:val="Ttulo3"/>
        <w:jc w:val="both"/>
        <w:rPr>
          <w:rFonts w:ascii="Poppins" w:hAnsi="Poppins" w:cs="Poppins"/>
          <w:color w:val="auto"/>
        </w:rPr>
      </w:pPr>
      <w:bookmarkStart w:id="31" w:name="X838985d687e1227c515267d63111c50ddba36ce"/>
      <w:bookmarkEnd w:id="30"/>
      <w:r w:rsidRPr="007940F9">
        <w:rPr>
          <w:rFonts w:ascii="Poppins" w:hAnsi="Poppins" w:cs="Poppins"/>
          <w:color w:val="auto"/>
        </w:rPr>
        <w:t>5.2. Exercício 2 — Contrato de locação de veículos</w:t>
      </w:r>
    </w:p>
    <w:p w14:paraId="402B8B74" w14:textId="77777777" w:rsidR="001A372A" w:rsidRPr="007940F9" w:rsidRDefault="00F00114" w:rsidP="0053305E">
      <w:pPr>
        <w:pStyle w:val="Compact"/>
        <w:numPr>
          <w:ilvl w:val="0"/>
          <w:numId w:val="3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Incidência tributária na locação.</w:t>
      </w:r>
    </w:p>
    <w:p w14:paraId="6191C4B8" w14:textId="77777777" w:rsidR="001A372A" w:rsidRPr="007940F9" w:rsidRDefault="00F00114" w:rsidP="0053305E">
      <w:pPr>
        <w:pStyle w:val="Compact"/>
        <w:numPr>
          <w:ilvl w:val="0"/>
          <w:numId w:val="3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Avaliação de créditos sobre aquisição, manutenção e operação.</w:t>
      </w:r>
    </w:p>
    <w:p w14:paraId="3034B00B" w14:textId="77777777" w:rsidR="001A372A" w:rsidRPr="007940F9" w:rsidRDefault="00F00114" w:rsidP="0053305E">
      <w:pPr>
        <w:pStyle w:val="Compact"/>
        <w:numPr>
          <w:ilvl w:val="0"/>
          <w:numId w:val="3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Comparação entre fornecedor no lucro real, lucro presumido e Simples Nacional.</w:t>
      </w:r>
    </w:p>
    <w:p w14:paraId="705270BB" w14:textId="77777777" w:rsidR="001A372A" w:rsidRPr="007940F9" w:rsidRDefault="00F00114" w:rsidP="0053305E">
      <w:pPr>
        <w:pStyle w:val="Compact"/>
        <w:numPr>
          <w:ilvl w:val="0"/>
          <w:numId w:val="3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Reflexo no preço mensal.</w:t>
      </w:r>
    </w:p>
    <w:p w14:paraId="25BBB4DD" w14:textId="77777777" w:rsidR="001A372A" w:rsidRPr="007940F9" w:rsidRDefault="00F00114" w:rsidP="0053305E">
      <w:pPr>
        <w:pStyle w:val="Compact"/>
        <w:numPr>
          <w:ilvl w:val="0"/>
          <w:numId w:val="32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Simulação de impacto no contrato vigente.</w:t>
      </w:r>
    </w:p>
    <w:p w14:paraId="31B5A112" w14:textId="1491DED4" w:rsidR="001A372A" w:rsidRPr="007940F9" w:rsidRDefault="00826C49" w:rsidP="0053305E">
      <w:pPr>
        <w:pStyle w:val="Ttulo1"/>
        <w:jc w:val="both"/>
        <w:rPr>
          <w:rFonts w:ascii="Poppins" w:hAnsi="Poppins" w:cs="Poppins"/>
          <w:b/>
          <w:bCs/>
          <w:color w:val="auto"/>
        </w:rPr>
      </w:pPr>
      <w:bookmarkStart w:id="32" w:name="materiais-de-apoio-sugeridos"/>
      <w:bookmarkEnd w:id="6"/>
      <w:bookmarkEnd w:id="29"/>
      <w:bookmarkEnd w:id="31"/>
      <w:r w:rsidRPr="007940F9">
        <w:rPr>
          <w:rFonts w:ascii="Poppins" w:hAnsi="Poppins" w:cs="Poppins"/>
          <w:b/>
          <w:bCs/>
          <w:color w:val="auto"/>
        </w:rPr>
        <w:t xml:space="preserve">7. Materiais de apoio </w:t>
      </w:r>
    </w:p>
    <w:p w14:paraId="1FF0ED6F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Constituição Federal, com alterações da EC nº 132/2023.</w:t>
      </w:r>
    </w:p>
    <w:p w14:paraId="78D17025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Lei Complementar nº 214/2025.</w:t>
      </w:r>
    </w:p>
    <w:p w14:paraId="15C83DD2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Lei Complementar nº 227/2026.</w:t>
      </w:r>
    </w:p>
    <w:p w14:paraId="3DF856DD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Lei nº 14.133/2021.</w:t>
      </w:r>
    </w:p>
    <w:p w14:paraId="7B293140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Decreto nº 12.955/2026, que regulamenta a CBS.</w:t>
      </w:r>
    </w:p>
    <w:p w14:paraId="765363B3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Normas, notas técnicas e orientações da Receita Federal, Comitê Gestor do IBS e entes federativos.</w:t>
      </w:r>
    </w:p>
    <w:p w14:paraId="7824C92D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Modelos de planilha de custos e formação de preços.</w:t>
      </w:r>
    </w:p>
    <w:p w14:paraId="5532F9AC" w14:textId="77777777" w:rsidR="001A372A" w:rsidRPr="007940F9" w:rsidRDefault="00F00114" w:rsidP="0053305E">
      <w:pPr>
        <w:pStyle w:val="Compact"/>
        <w:numPr>
          <w:ilvl w:val="0"/>
          <w:numId w:val="38"/>
        </w:numPr>
        <w:jc w:val="both"/>
        <w:rPr>
          <w:rFonts w:ascii="Poppins" w:hAnsi="Poppins" w:cs="Poppins"/>
        </w:rPr>
      </w:pPr>
      <w:r w:rsidRPr="007940F9">
        <w:rPr>
          <w:rFonts w:ascii="Poppins" w:hAnsi="Poppins" w:cs="Poppins"/>
        </w:rPr>
        <w:t>Estudos de caso e notas fiscais simuladas.</w:t>
      </w:r>
      <w:bookmarkEnd w:id="32"/>
    </w:p>
    <w:sectPr w:rsidR="001A372A" w:rsidRPr="007940F9" w:rsidSect="0053305E">
      <w:footnotePr>
        <w:numRestart w:val="eachSect"/>
      </w:footnotePr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85E37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536242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9C5268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84057065">
    <w:abstractNumId w:val="0"/>
  </w:num>
  <w:num w:numId="2" w16cid:durableId="14083105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4966012">
    <w:abstractNumId w:val="1"/>
  </w:num>
  <w:num w:numId="4" w16cid:durableId="457533699">
    <w:abstractNumId w:val="1"/>
  </w:num>
  <w:num w:numId="5" w16cid:durableId="84807352">
    <w:abstractNumId w:val="1"/>
  </w:num>
  <w:num w:numId="6" w16cid:durableId="1012798692">
    <w:abstractNumId w:val="1"/>
  </w:num>
  <w:num w:numId="7" w16cid:durableId="693842523">
    <w:abstractNumId w:val="1"/>
  </w:num>
  <w:num w:numId="8" w16cid:durableId="1168639356">
    <w:abstractNumId w:val="1"/>
  </w:num>
  <w:num w:numId="9" w16cid:durableId="1296568619">
    <w:abstractNumId w:val="1"/>
  </w:num>
  <w:num w:numId="10" w16cid:durableId="1946762619">
    <w:abstractNumId w:val="1"/>
  </w:num>
  <w:num w:numId="11" w16cid:durableId="1655599347">
    <w:abstractNumId w:val="1"/>
  </w:num>
  <w:num w:numId="12" w16cid:durableId="1041978305">
    <w:abstractNumId w:val="1"/>
  </w:num>
  <w:num w:numId="13" w16cid:durableId="1305575031">
    <w:abstractNumId w:val="1"/>
  </w:num>
  <w:num w:numId="14" w16cid:durableId="274947204">
    <w:abstractNumId w:val="1"/>
  </w:num>
  <w:num w:numId="15" w16cid:durableId="1062680701">
    <w:abstractNumId w:val="1"/>
  </w:num>
  <w:num w:numId="16" w16cid:durableId="784619322">
    <w:abstractNumId w:val="1"/>
  </w:num>
  <w:num w:numId="17" w16cid:durableId="1974868052">
    <w:abstractNumId w:val="1"/>
  </w:num>
  <w:num w:numId="18" w16cid:durableId="2024671999">
    <w:abstractNumId w:val="1"/>
  </w:num>
  <w:num w:numId="19" w16cid:durableId="697007626">
    <w:abstractNumId w:val="1"/>
  </w:num>
  <w:num w:numId="20" w16cid:durableId="1023046724">
    <w:abstractNumId w:val="1"/>
  </w:num>
  <w:num w:numId="21" w16cid:durableId="1432823799">
    <w:abstractNumId w:val="1"/>
  </w:num>
  <w:num w:numId="22" w16cid:durableId="802582049">
    <w:abstractNumId w:val="1"/>
  </w:num>
  <w:num w:numId="23" w16cid:durableId="52196914">
    <w:abstractNumId w:val="1"/>
  </w:num>
  <w:num w:numId="24" w16cid:durableId="1979219384">
    <w:abstractNumId w:val="1"/>
  </w:num>
  <w:num w:numId="25" w16cid:durableId="1462117501">
    <w:abstractNumId w:val="1"/>
  </w:num>
  <w:num w:numId="26" w16cid:durableId="505677733">
    <w:abstractNumId w:val="1"/>
  </w:num>
  <w:num w:numId="27" w16cid:durableId="627197963">
    <w:abstractNumId w:val="1"/>
  </w:num>
  <w:num w:numId="28" w16cid:durableId="219563960">
    <w:abstractNumId w:val="1"/>
  </w:num>
  <w:num w:numId="29" w16cid:durableId="1341808881">
    <w:abstractNumId w:val="1"/>
  </w:num>
  <w:num w:numId="30" w16cid:durableId="826433065">
    <w:abstractNumId w:val="1"/>
  </w:num>
  <w:num w:numId="31" w16cid:durableId="40177615">
    <w:abstractNumId w:val="1"/>
  </w:num>
  <w:num w:numId="32" w16cid:durableId="2125267136">
    <w:abstractNumId w:val="1"/>
  </w:num>
  <w:num w:numId="33" w16cid:durableId="989093968">
    <w:abstractNumId w:val="1"/>
  </w:num>
  <w:num w:numId="34" w16cid:durableId="465781862">
    <w:abstractNumId w:val="1"/>
  </w:num>
  <w:num w:numId="35" w16cid:durableId="866140359">
    <w:abstractNumId w:val="1"/>
  </w:num>
  <w:num w:numId="36" w16cid:durableId="719479716">
    <w:abstractNumId w:val="1"/>
  </w:num>
  <w:num w:numId="37" w16cid:durableId="479467559">
    <w:abstractNumId w:val="1"/>
  </w:num>
  <w:num w:numId="38" w16cid:durableId="1520241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2A"/>
    <w:rsid w:val="0011119E"/>
    <w:rsid w:val="001A372A"/>
    <w:rsid w:val="004D261E"/>
    <w:rsid w:val="0053305E"/>
    <w:rsid w:val="00582171"/>
    <w:rsid w:val="00595268"/>
    <w:rsid w:val="005D6CB8"/>
    <w:rsid w:val="006E305A"/>
    <w:rsid w:val="007560FC"/>
    <w:rsid w:val="007940F9"/>
    <w:rsid w:val="00826C49"/>
    <w:rsid w:val="00981DBB"/>
    <w:rsid w:val="00A16665"/>
    <w:rsid w:val="00ED662D"/>
    <w:rsid w:val="00F00114"/>
    <w:rsid w:val="00FC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634B7"/>
  <w15:docId w15:val="{5594C2A1-5AEE-46E4-A5BE-1D037BD4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2229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TCU</Company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Evaldo Araújo Ramos</dc:creator>
  <cp:keywords/>
  <cp:lastModifiedBy>Evaldo Araújo Ramos</cp:lastModifiedBy>
  <cp:revision>9</cp:revision>
  <dcterms:created xsi:type="dcterms:W3CDTF">2026-07-01T08:12:00Z</dcterms:created>
  <dcterms:modified xsi:type="dcterms:W3CDTF">2026-09-28T13:03:00Z</dcterms:modified>
</cp:coreProperties>
</file>